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jlumxfgkdd91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bf9000"/>
          <w:sz w:val="28"/>
          <w:szCs w:val="28"/>
          <w:u w:val="single"/>
          <w:rtl w:val="0"/>
        </w:rPr>
        <w:t xml:space="preserve">Gold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Repeating Binary Fractions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In math class, a repeating decimal pattern can be represented as a rational number in lowest terms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integers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non-zero.  For example the repeating decimal 0.36363636… is equal to 36/99, or 4/11 in lowest terms.  The principle is the same with repeating binary patterns (patterns in base 2 only consisting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zeros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ones).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program will be given the repeating binary pattern immediately following the binary point of a number.  It will output the fractional, lowest terms, equivalent in base-10.</w:t>
      </w:r>
    </w:p>
    <w:p w:rsidR="00000000" w:rsidDel="00000000" w:rsidP="00000000" w:rsidRDefault="00000000" w:rsidRPr="00000000" w14:paraId="0000000A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A sequence of 0’s and 1’s that represent the repeated portion of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binary fraction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up to 30 binary digits.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The equivalent base-10 fraction in lowest terms, written in A/B format.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1:</w:t>
        <w:tab/>
        <w:t xml:space="preserve">Input:</w:t>
      </w:r>
    </w:p>
    <w:p w:rsidR="00000000" w:rsidDel="00000000" w:rsidP="00000000" w:rsidRDefault="00000000" w:rsidRPr="00000000" w14:paraId="0000000F">
      <w:pPr>
        <w:pStyle w:val="Heading6"/>
        <w:spacing w:after="0" w:before="0" w:lineRule="auto"/>
        <w:ind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0011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</w:r>
    </w:p>
    <w:p w:rsidR="00000000" w:rsidDel="00000000" w:rsidP="00000000" w:rsidRDefault="00000000" w:rsidRPr="00000000" w14:paraId="00000012">
      <w:pPr>
        <w:ind w:left="2160" w:firstLine="0"/>
        <w:rPr/>
      </w:pPr>
      <w:r w:rsidDel="00000000" w:rsidR="00000000" w:rsidRPr="00000000">
        <w:rPr>
          <w:rtl w:val="0"/>
        </w:rPr>
        <w:t xml:space="preserve">1/5</w:t>
      </w:r>
    </w:p>
    <w:p w:rsidR="00000000" w:rsidDel="00000000" w:rsidP="00000000" w:rsidRDefault="00000000" w:rsidRPr="00000000" w14:paraId="0000001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2:</w:t>
        <w:tab/>
        <w:t xml:space="preserve">Input:</w:t>
      </w:r>
    </w:p>
    <w:p w:rsidR="00000000" w:rsidDel="00000000" w:rsidP="00000000" w:rsidRDefault="00000000" w:rsidRPr="00000000" w14:paraId="00000015">
      <w:pPr>
        <w:pStyle w:val="Heading6"/>
        <w:spacing w:after="0" w:before="0" w:lineRule="auto"/>
        <w:ind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bookmarkStart w:colFirst="0" w:colLast="0" w:name="_gjdgx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</w:r>
    </w:p>
    <w:p w:rsidR="00000000" w:rsidDel="00000000" w:rsidP="00000000" w:rsidRDefault="00000000" w:rsidRPr="00000000" w14:paraId="00000018">
      <w:pPr>
        <w:ind w:left="2160" w:firstLine="0"/>
        <w:rPr/>
      </w:pPr>
      <w:r w:rsidDel="00000000" w:rsidR="00000000" w:rsidRPr="00000000">
        <w:rPr>
          <w:rtl w:val="0"/>
        </w:rPr>
        <w:t xml:space="preserve">1/3</w:t>
      </w:r>
    </w:p>
    <w:p w:rsidR="00000000" w:rsidDel="00000000" w:rsidP="00000000" w:rsidRDefault="00000000" w:rsidRPr="00000000" w14:paraId="00000019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Example 3:</w:t>
        <w:tab/>
        <w:t xml:space="preserve">Input: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0000000000011110</w:t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Output: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2/4369</w:t>
      </w:r>
    </w:p>
    <w:sectPr>
      <w:type w:val="continuous"/>
      <w:pgSz w:h="15840" w:w="12240" w:orient="portrait"/>
      <w:pgMar w:bottom="810" w:top="810" w:left="1008" w:right="1008" w:header="1181" w:footer="74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